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CDF55" w14:textId="77777777" w:rsidR="00845F62" w:rsidRDefault="00B56603">
      <w:pPr>
        <w:jc w:val="right"/>
      </w:pPr>
      <w:r>
        <w:rPr>
          <w:noProof/>
        </w:rPr>
        <w:drawing>
          <wp:inline distT="0" distB="0" distL="0" distR="0" wp14:anchorId="1EDD3B52" wp14:editId="2839739C">
            <wp:extent cx="2286000" cy="95369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kcentrum - logo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953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20A974" w14:textId="77777777" w:rsidR="00845F62" w:rsidRDefault="00B56603">
      <w:pPr>
        <w:pStyle w:val="Kop1"/>
      </w:pPr>
      <w:r>
        <w:rPr>
          <w:color w:val="56008B"/>
        </w:rPr>
        <w:t>VSME-rapportage – Supermarkt De Groene Brug (Basic + Comprehensive Modules)</w:t>
      </w:r>
    </w:p>
    <w:p w14:paraId="4C119E5B" w14:textId="77777777" w:rsidR="00845F62" w:rsidRDefault="00B56603">
      <w:pPr>
        <w:pStyle w:val="Kop2"/>
      </w:pPr>
      <w:r>
        <w:rPr>
          <w:color w:val="56008B"/>
        </w:rPr>
        <w:t>Inleiding</w:t>
      </w:r>
    </w:p>
    <w:p w14:paraId="5AF4F361" w14:textId="77777777" w:rsidR="00845F62" w:rsidRDefault="00B56603">
      <w:r>
        <w:t xml:space="preserve">Supermarkt De Groene Brug is een zelfstandige franchisenemer met een sterke wijkfunctie. </w:t>
      </w:r>
      <w:r>
        <w:br/>
        <w:t xml:space="preserve">De winkel bedient jaarlijks circa 9.500 vaste klanten en draait €9,4 miljoen omzet. </w:t>
      </w:r>
      <w:r>
        <w:br/>
        <w:t>Deze rapportage bevat zowel de Basic als Comprehensive module van de VSME-standaard.</w:t>
      </w:r>
    </w:p>
    <w:p w14:paraId="0229C6C7" w14:textId="77777777" w:rsidR="00845F62" w:rsidRDefault="00B56603">
      <w:pPr>
        <w:pStyle w:val="Kop2"/>
      </w:pPr>
      <w:r>
        <w:rPr>
          <w:color w:val="56008B"/>
        </w:rPr>
        <w:t>Personeelsopbouw</w:t>
      </w:r>
    </w:p>
    <w:p w14:paraId="17BB8169" w14:textId="77777777" w:rsidR="00845F62" w:rsidRDefault="00B56603">
      <w:r>
        <w:t>Aantal medewerkers: 41 (26 FTE)</w:t>
      </w:r>
      <w:r>
        <w:br/>
        <w:t>Geslacht: 21 mannen, 20 vrouwen</w:t>
      </w:r>
      <w:r>
        <w:br/>
        <w:t>Contracten: 14 fulltime, 27 parttime</w:t>
      </w:r>
      <w:r>
        <w:br/>
        <w:t>Flex: 11 medewerkers (voornamelijk studenten)</w:t>
      </w:r>
      <w:r>
        <w:br/>
        <w:t>CAO-dekking: 100%</w:t>
      </w:r>
      <w:r>
        <w:br/>
        <w:t>Loonkloof: 2,8% (urenverschillen gerelateerd)</w:t>
      </w:r>
    </w:p>
    <w:p w14:paraId="0F6046B5" w14:textId="77777777" w:rsidR="00845F62" w:rsidRDefault="00B56603">
      <w:pPr>
        <w:pStyle w:val="Kop2"/>
      </w:pPr>
      <w:r>
        <w:rPr>
          <w:color w:val="56008B"/>
        </w:rPr>
        <w:t>Bedrijfsomschrijving</w:t>
      </w:r>
    </w:p>
    <w:p w14:paraId="7B8542A6" w14:textId="77777777" w:rsidR="00845F62" w:rsidRDefault="00B56603">
      <w:r>
        <w:t xml:space="preserve">Supermarkt De Groene Brug is gevestigd in een middelgrote woonwijk in Deventer. </w:t>
      </w:r>
      <w:r>
        <w:br/>
        <w:t xml:space="preserve">Het betreft een moderne supermarkt van 1.350 m² winkelvloeroppervlak. </w:t>
      </w:r>
      <w:r>
        <w:br/>
        <w:t>De winkel valt onder NACE-code 47.11 en hanteert zowel de Basic als Comprehensive VSME-methode.</w:t>
      </w:r>
    </w:p>
    <w:p w14:paraId="425AE3A6" w14:textId="77777777" w:rsidR="00845F62" w:rsidRDefault="00B56603">
      <w:pPr>
        <w:pStyle w:val="Kop2"/>
      </w:pPr>
      <w:r>
        <w:rPr>
          <w:color w:val="56008B"/>
        </w:rPr>
        <w:t>Basic Module – Energie &amp; Emissies</w:t>
      </w:r>
    </w:p>
    <w:p w14:paraId="33DC2F32" w14:textId="77777777" w:rsidR="00845F62" w:rsidRDefault="00B56603">
      <w:r>
        <w:t>Elektriciteit: 402 MWh (100% groen)</w:t>
      </w:r>
      <w:r>
        <w:br/>
        <w:t>Gas: 12 MWh</w:t>
      </w:r>
      <w:r>
        <w:br/>
        <w:t>Scope 1: 2,7 tCO₂</w:t>
      </w:r>
      <w:r>
        <w:br/>
        <w:t>Scope 2: 0</w:t>
      </w:r>
      <w:r>
        <w:br/>
        <w:t>CO₂-intensiteit: 0,00029 tCO₂ per euro omzet</w:t>
      </w:r>
    </w:p>
    <w:p w14:paraId="210B6D7A" w14:textId="77777777" w:rsidR="00845F62" w:rsidRDefault="00B56603">
      <w:pPr>
        <w:pStyle w:val="Kop2"/>
      </w:pPr>
      <w:r>
        <w:rPr>
          <w:color w:val="56008B"/>
        </w:rPr>
        <w:t>Comprehensive – Supply Chain Emissies (Scope 3)</w:t>
      </w:r>
    </w:p>
    <w:p w14:paraId="4E73B2C4" w14:textId="77777777" w:rsidR="00845F62" w:rsidRDefault="00B56603">
      <w:r>
        <w:t>Berekening o.b.v. formulebrancherapport:</w:t>
      </w:r>
      <w:r>
        <w:br/>
        <w:t>– Voedselproductie: 1.265 tCO₂</w:t>
      </w:r>
      <w:r>
        <w:br/>
        <w:t>– Logistiek: 102 tCO₂</w:t>
      </w:r>
      <w:r>
        <w:br/>
        <w:t>– Verpakkingen: 58 tCO₂</w:t>
      </w:r>
      <w:r>
        <w:br/>
        <w:t>Totale Scope 3: 1.425 tCO₂</w:t>
      </w:r>
    </w:p>
    <w:p w14:paraId="479DF40D" w14:textId="77777777" w:rsidR="00845F62" w:rsidRDefault="00B56603">
      <w:pPr>
        <w:pStyle w:val="Kop2"/>
      </w:pPr>
      <w:r>
        <w:rPr>
          <w:color w:val="56008B"/>
        </w:rPr>
        <w:lastRenderedPageBreak/>
        <w:t>Basic – Afval &amp; Grondstoffen</w:t>
      </w:r>
    </w:p>
    <w:p w14:paraId="11A87150" w14:textId="77777777" w:rsidR="00845F62" w:rsidRDefault="00B56603">
      <w:r>
        <w:t>Karton: 17.400 kg</w:t>
      </w:r>
      <w:r>
        <w:br/>
        <w:t>PMD: 4.500 kg</w:t>
      </w:r>
      <w:r>
        <w:br/>
        <w:t>Swill: 8.200 kg</w:t>
      </w:r>
      <w:r>
        <w:br/>
        <w:t>Rest: 2.100 kg</w:t>
      </w:r>
    </w:p>
    <w:p w14:paraId="060FD4B2" w14:textId="77777777" w:rsidR="00845F62" w:rsidRDefault="00B56603">
      <w:pPr>
        <w:pStyle w:val="Kop2"/>
      </w:pPr>
      <w:r>
        <w:rPr>
          <w:color w:val="56008B"/>
        </w:rPr>
        <w:t>Comprehensive – Circulaire Materialen &amp; Verpakkingen</w:t>
      </w:r>
    </w:p>
    <w:p w14:paraId="285F60D8" w14:textId="77777777" w:rsidR="00845F62" w:rsidRDefault="00B56603">
      <w:r>
        <w:t>– Plasticreductie −7% t.o.v. 2023</w:t>
      </w:r>
      <w:r>
        <w:br/>
        <w:t>– Herbruikbare fuststromen 100%</w:t>
      </w:r>
      <w:r>
        <w:br/>
        <w:t>– 14% minder aluminium in huismerkverpakkingen</w:t>
      </w:r>
    </w:p>
    <w:p w14:paraId="6E131070" w14:textId="77777777" w:rsidR="00845F62" w:rsidRDefault="00B56603">
      <w:pPr>
        <w:pStyle w:val="Kop2"/>
      </w:pPr>
      <w:r>
        <w:rPr>
          <w:color w:val="56008B"/>
        </w:rPr>
        <w:t>Basic – Waterverbruik</w:t>
      </w:r>
    </w:p>
    <w:p w14:paraId="6C6A8DF3" w14:textId="77777777" w:rsidR="00845F62" w:rsidRDefault="00B56603">
      <w:r>
        <w:t>Jaarverbruik: 298 m³</w:t>
      </w:r>
    </w:p>
    <w:p w14:paraId="4ED48775" w14:textId="77777777" w:rsidR="00845F62" w:rsidRDefault="00B56603">
      <w:pPr>
        <w:pStyle w:val="Kop2"/>
      </w:pPr>
      <w:r>
        <w:rPr>
          <w:color w:val="56008B"/>
        </w:rPr>
        <w:t>Comprehensive – Waterbeheer</w:t>
      </w:r>
    </w:p>
    <w:p w14:paraId="4A5D67CC" w14:textId="77777777" w:rsidR="00845F62" w:rsidRDefault="00B56603">
      <w:r>
        <w:t>– Schoonmaakoptimalisatie: −6% watergebruik</w:t>
      </w:r>
      <w:r>
        <w:br/>
        <w:t>– Geen risico’s op waterstress</w:t>
      </w:r>
    </w:p>
    <w:p w14:paraId="7C63E435" w14:textId="77777777" w:rsidR="00845F62" w:rsidRDefault="00B56603">
      <w:pPr>
        <w:pStyle w:val="Kop2"/>
      </w:pPr>
      <w:r>
        <w:rPr>
          <w:color w:val="56008B"/>
        </w:rPr>
        <w:t>Basic – Werknemerskenmerken</w:t>
      </w:r>
    </w:p>
    <w:p w14:paraId="1F36C310" w14:textId="77777777" w:rsidR="00845F62" w:rsidRDefault="00B56603">
      <w:r>
        <w:t>41 medewerkers. Focus op doorstroom van studenten naar vaste contracten.</w:t>
      </w:r>
    </w:p>
    <w:p w14:paraId="12E5EF64" w14:textId="77777777" w:rsidR="00845F62" w:rsidRDefault="00B56603">
      <w:pPr>
        <w:pStyle w:val="Kop2"/>
      </w:pPr>
      <w:r>
        <w:rPr>
          <w:color w:val="56008B"/>
        </w:rPr>
        <w:t>Comprehensive – Sociale Due Diligence</w:t>
      </w:r>
    </w:p>
    <w:p w14:paraId="1A1D9A1C" w14:textId="77777777" w:rsidR="00845F62" w:rsidRDefault="00B56603">
      <w:r>
        <w:t>– Formulebrede MVO-toezichtketen</w:t>
      </w:r>
      <w:r>
        <w:br/>
        <w:t>– Meldpunt voor arbeidsomstandigheden bij leveranciers</w:t>
      </w:r>
      <w:r>
        <w:br/>
        <w:t>– Risicoclassificatie uitgevoerd (laag risico)</w:t>
      </w:r>
    </w:p>
    <w:p w14:paraId="7CADE249" w14:textId="77777777" w:rsidR="00845F62" w:rsidRDefault="00B56603">
      <w:pPr>
        <w:pStyle w:val="Kop2"/>
      </w:pPr>
      <w:r>
        <w:rPr>
          <w:color w:val="56008B"/>
        </w:rPr>
        <w:t>Basic – Gezondheid &amp; Veiligheid</w:t>
      </w:r>
    </w:p>
    <w:p w14:paraId="35CEFA9D" w14:textId="77777777" w:rsidR="00845F62" w:rsidRDefault="00B56603">
      <w:r>
        <w:t>2 kleine incidenten, geen ziekenhuisopnames</w:t>
      </w:r>
    </w:p>
    <w:p w14:paraId="607128AF" w14:textId="77777777" w:rsidR="00845F62" w:rsidRDefault="00B56603">
      <w:pPr>
        <w:pStyle w:val="Kop2"/>
      </w:pPr>
      <w:r>
        <w:rPr>
          <w:color w:val="56008B"/>
        </w:rPr>
        <w:t>Comprehensive – Veiligheidsmanagement</w:t>
      </w:r>
    </w:p>
    <w:p w14:paraId="70329EA2" w14:textId="77777777" w:rsidR="00845F62" w:rsidRDefault="00B56603">
      <w:r>
        <w:t>– Jaarlijkse RI&amp;E</w:t>
      </w:r>
      <w:r>
        <w:br/>
        <w:t>– 4 HACCP-inspecties</w:t>
      </w:r>
      <w:r>
        <w:br/>
        <w:t>– Volledige BHV-bezetting</w:t>
      </w:r>
    </w:p>
    <w:p w14:paraId="60FC9D9E" w14:textId="77777777" w:rsidR="00845F62" w:rsidRDefault="00B56603">
      <w:pPr>
        <w:pStyle w:val="Kop2"/>
      </w:pPr>
      <w:r>
        <w:rPr>
          <w:color w:val="56008B"/>
        </w:rPr>
        <w:t>Basic – Corruptie</w:t>
      </w:r>
    </w:p>
    <w:p w14:paraId="56379E79" w14:textId="77777777" w:rsidR="00845F62" w:rsidRDefault="00B56603">
      <w:r>
        <w:t>Geen incidenten of verdenkingen in 2024</w:t>
      </w:r>
    </w:p>
    <w:p w14:paraId="2EC76D43" w14:textId="77777777" w:rsidR="00845F62" w:rsidRDefault="00B56603">
      <w:pPr>
        <w:pStyle w:val="Kop2"/>
      </w:pPr>
      <w:r>
        <w:rPr>
          <w:color w:val="56008B"/>
        </w:rPr>
        <w:t>Comprehensive – Governance &amp; Transparantie</w:t>
      </w:r>
    </w:p>
    <w:p w14:paraId="33B76CFF" w14:textId="77777777" w:rsidR="00845F62" w:rsidRDefault="00B56603">
      <w:r>
        <w:t>– Jaarlijkse interne audit energiemanagement</w:t>
      </w:r>
      <w:r>
        <w:br/>
        <w:t>– Geen sancties of overtredingen</w:t>
      </w:r>
      <w:r>
        <w:br/>
        <w:t>– Volledige naleving franchiseovereenkomst</w:t>
      </w:r>
    </w:p>
    <w:sectPr w:rsidR="00845F6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33517313">
    <w:abstractNumId w:val="8"/>
  </w:num>
  <w:num w:numId="2" w16cid:durableId="64425410">
    <w:abstractNumId w:val="6"/>
  </w:num>
  <w:num w:numId="3" w16cid:durableId="663555706">
    <w:abstractNumId w:val="5"/>
  </w:num>
  <w:num w:numId="4" w16cid:durableId="394818065">
    <w:abstractNumId w:val="4"/>
  </w:num>
  <w:num w:numId="5" w16cid:durableId="1566064374">
    <w:abstractNumId w:val="7"/>
  </w:num>
  <w:num w:numId="6" w16cid:durableId="8200">
    <w:abstractNumId w:val="3"/>
  </w:num>
  <w:num w:numId="7" w16cid:durableId="732045154">
    <w:abstractNumId w:val="2"/>
  </w:num>
  <w:num w:numId="8" w16cid:durableId="1596859081">
    <w:abstractNumId w:val="1"/>
  </w:num>
  <w:num w:numId="9" w16cid:durableId="954751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845F62"/>
    <w:rsid w:val="00AA1D8D"/>
    <w:rsid w:val="00B47730"/>
    <w:rsid w:val="00B56603"/>
    <w:rsid w:val="00B82DA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D78060"/>
  <w14:defaultImageDpi w14:val="300"/>
  <w15:docId w15:val="{559EBCB3-A494-4205-9068-5C6D6392E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1924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Maartje Bongenaar | Vakcentrum</cp:lastModifiedBy>
  <cp:revision>2</cp:revision>
  <dcterms:created xsi:type="dcterms:W3CDTF">2025-11-13T13:29:00Z</dcterms:created>
  <dcterms:modified xsi:type="dcterms:W3CDTF">2025-11-13T13:29:00Z</dcterms:modified>
  <cp:category/>
</cp:coreProperties>
</file>